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F8" w:rsidRPr="00630B56" w:rsidRDefault="006E03F8" w:rsidP="006E03F8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630B56">
        <w:rPr>
          <w:rFonts w:ascii="黑体" w:eastAsia="黑体" w:hAnsi="黑体" w:cs="仿宋_GB2312" w:hint="eastAsia"/>
          <w:sz w:val="32"/>
          <w:szCs w:val="32"/>
        </w:rPr>
        <w:t>附录</w:t>
      </w:r>
      <w:r>
        <w:rPr>
          <w:rFonts w:ascii="黑体" w:eastAsia="黑体" w:hAnsi="黑体" w:cs="仿宋_GB2312"/>
          <w:sz w:val="32"/>
          <w:szCs w:val="32"/>
        </w:rPr>
        <w:t>1</w:t>
      </w:r>
      <w:bookmarkStart w:id="0" w:name="_GoBack"/>
      <w:bookmarkEnd w:id="0"/>
    </w:p>
    <w:p w:rsidR="006E03F8" w:rsidRDefault="006E03F8" w:rsidP="006E03F8">
      <w:pPr>
        <w:adjustRightInd w:val="0"/>
        <w:snapToGrid w:val="0"/>
        <w:spacing w:line="560" w:lineRule="exact"/>
        <w:ind w:firstLine="200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>
        <w:rPr>
          <w:rFonts w:ascii="方正小标宋简体" w:eastAsia="方正小标宋简体" w:hAnsi="微软雅黑" w:hint="eastAsia"/>
          <w:bCs/>
          <w:sz w:val="36"/>
          <w:szCs w:val="36"/>
        </w:rPr>
        <w:t>西安电子科技大学</w:t>
      </w:r>
      <w:r w:rsidRPr="006E03F8">
        <w:rPr>
          <w:rFonts w:ascii="方正小标宋简体" w:eastAsia="方正小标宋简体" w:hAnsi="微软雅黑" w:hint="eastAsia"/>
          <w:bCs/>
          <w:sz w:val="36"/>
          <w:szCs w:val="36"/>
        </w:rPr>
        <w:t>先进材料与纳米科技学院简介</w:t>
      </w:r>
    </w:p>
    <w:p w:rsidR="0004431D" w:rsidRDefault="0004431D" w:rsidP="0004431D">
      <w:pPr>
        <w:adjustRightInd w:val="0"/>
        <w:snapToGrid w:val="0"/>
        <w:spacing w:line="560" w:lineRule="exact"/>
        <w:ind w:firstLineChars="200" w:firstLine="1920"/>
        <w:rPr>
          <w:rFonts w:ascii="方正小标宋简体" w:eastAsia="方正小标宋简体" w:hAnsi="微软雅黑"/>
          <w:bCs/>
          <w:sz w:val="96"/>
          <w:szCs w:val="96"/>
        </w:rPr>
      </w:pPr>
    </w:p>
    <w:p w:rsidR="0004431D" w:rsidRPr="0004431D" w:rsidRDefault="0004431D" w:rsidP="0004431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4431D">
        <w:rPr>
          <w:rFonts w:ascii="仿宋_GB2312" w:eastAsia="仿宋_GB2312" w:hAnsi="仿宋_GB2312" w:cs="仿宋_GB2312" w:hint="eastAsia"/>
          <w:sz w:val="32"/>
          <w:szCs w:val="32"/>
        </w:rPr>
        <w:t>先进材料与纳米科技学院是2013年新成立的研究型学院。学院的目标是：建设世界一流材料学院，培养国家栋梁人才，创造国际领先核心科技。学院秉承“育人做事并重，基础应用同行”的办院理念和“六育”(全面培养学生“德、智、体、美、心、行”六方面能力和素质)的教育理念，以“一流材料学科建设”为中心，把高水平人才培养和领先核心科技研发作为学院的两个根本点，坚持学院的发展与服务国家相结合，基础研究与应用开发相结合，学院的全面建设与学科的特色优势相结合，学院发展的长远目标和短期进步相结合，开拓创新，锐意进取。学院的院训为：“修身、悟道、求实、进取”，逐步形成“团结、协作、自强、拼搏”的学院文化和“勤学日新、学以致用、知行合一”的学院学风。西电材料人具有“理想远大、信念坚定、实事求是、雷厉风行”的优秀品格。学院致力于在新材料、纳米能源技术、信息感知技术等领域打造一流的科研教学队伍，培养一流的人才，形成特色鲜明、优势明显的一流材料学科。西电杰出校友、中国科学院外籍院士、欧洲科学院院士王中林担任学院名誉院长、首席科学家、学术委员会主任。</w:t>
      </w:r>
    </w:p>
    <w:p w:rsidR="0004431D" w:rsidRDefault="0004431D" w:rsidP="0004431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4431D">
        <w:rPr>
          <w:rFonts w:ascii="仿宋_GB2312" w:eastAsia="仿宋_GB2312" w:hAnsi="仿宋_GB2312" w:cs="仿宋_GB2312" w:hint="eastAsia"/>
          <w:sz w:val="32"/>
          <w:szCs w:val="32"/>
        </w:rPr>
        <w:t>学院现设有1个一级博士学位授权点、2个二级学术型硕士学位授权点和1个专业型硕士学位授权点，2个本科专业。学院师资力量雄厚，现有专任教师60人，其中教授10</w:t>
      </w:r>
      <w:r w:rsidRPr="0004431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,副教授23人，97%的专任教师具有博士学历，42%的专任教师具有在国际高水平科研院所的交流学习经历。拥有教育部长江学者特聘教授1人，教育部长江学者讲座教授1人，国家“万人计划”领军人才1人，科技部中青年科技创新领军人才1人，首批中组部“万人计划”青年拔尖人才1人，卓越青年人才基金获得者1人，国家优秀青年科学基金获得者1人，霍英东教育基金获得者1人，教育部新世纪优秀人才2人，美国陶瓷学会颁发的世界陶瓷研究领域年度最有价值贡献奖-Ross Coffin Purdy 奖获得者1人，陕西省百人计划青年项目1人，陕西省千人计划青年项目1人，陕西省青年人才托举工程1人。学院教师主持、参与了国家重大专项、国家973项目、解放军装备发展部重点项目、863重点项目等重要国家科研计划项目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3"/>
        <w:gridCol w:w="3669"/>
      </w:tblGrid>
      <w:tr w:rsidR="0004431D" w:rsidRPr="00157B02" w:rsidTr="00E376A5">
        <w:trPr>
          <w:trHeight w:val="530"/>
          <w:jc w:val="center"/>
        </w:trPr>
        <w:tc>
          <w:tcPr>
            <w:tcW w:w="6942" w:type="dxa"/>
            <w:gridSpan w:val="2"/>
            <w:vAlign w:val="center"/>
          </w:tcPr>
          <w:p w:rsidR="0004431D" w:rsidRPr="00E30DAF" w:rsidRDefault="0004431D" w:rsidP="00E376A5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学科专业</w:t>
            </w:r>
          </w:p>
        </w:tc>
      </w:tr>
      <w:tr w:rsidR="0004431D" w:rsidRPr="00E30DAF" w:rsidTr="00E376A5">
        <w:trPr>
          <w:trHeight w:val="609"/>
          <w:jc w:val="center"/>
        </w:trPr>
        <w:tc>
          <w:tcPr>
            <w:tcW w:w="3273" w:type="dxa"/>
            <w:vMerge w:val="restart"/>
            <w:vAlign w:val="center"/>
          </w:tcPr>
          <w:p w:rsidR="0004431D" w:rsidRPr="00E30DAF" w:rsidRDefault="0004431D" w:rsidP="00E376A5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本科专业</w:t>
            </w:r>
          </w:p>
        </w:tc>
        <w:tc>
          <w:tcPr>
            <w:tcW w:w="3669" w:type="dxa"/>
            <w:vAlign w:val="center"/>
          </w:tcPr>
          <w:p w:rsidR="0004431D" w:rsidRPr="00E30DAF" w:rsidRDefault="0004431D" w:rsidP="00E376A5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材料科学与工程</w:t>
            </w:r>
          </w:p>
        </w:tc>
      </w:tr>
      <w:tr w:rsidR="0004431D" w:rsidRPr="00E30DAF" w:rsidTr="00E376A5">
        <w:trPr>
          <w:trHeight w:val="392"/>
          <w:jc w:val="center"/>
        </w:trPr>
        <w:tc>
          <w:tcPr>
            <w:tcW w:w="3273" w:type="dxa"/>
            <w:vMerge/>
            <w:vAlign w:val="center"/>
          </w:tcPr>
          <w:p w:rsidR="0004431D" w:rsidRPr="00E30DAF" w:rsidRDefault="0004431D" w:rsidP="00E376A5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3669" w:type="dxa"/>
            <w:vAlign w:val="center"/>
          </w:tcPr>
          <w:p w:rsidR="0004431D" w:rsidRPr="00E30DAF" w:rsidRDefault="0004431D" w:rsidP="00E376A5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应用化学</w:t>
            </w:r>
          </w:p>
        </w:tc>
      </w:tr>
      <w:tr w:rsidR="0004431D" w:rsidRPr="00E30DAF" w:rsidTr="00E376A5">
        <w:trPr>
          <w:trHeight w:val="609"/>
          <w:jc w:val="center"/>
        </w:trPr>
        <w:tc>
          <w:tcPr>
            <w:tcW w:w="3273" w:type="dxa"/>
            <w:vMerge w:val="restart"/>
            <w:vAlign w:val="center"/>
          </w:tcPr>
          <w:p w:rsidR="0004431D" w:rsidRPr="00E30DAF" w:rsidRDefault="0004431D" w:rsidP="00E376A5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硕士</w:t>
            </w:r>
            <w:r w:rsidRPr="00E30DAF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学位授权点</w:t>
            </w:r>
          </w:p>
        </w:tc>
        <w:tc>
          <w:tcPr>
            <w:tcW w:w="3669" w:type="dxa"/>
            <w:vAlign w:val="center"/>
          </w:tcPr>
          <w:p w:rsidR="0004431D" w:rsidRPr="00E30DAF" w:rsidRDefault="0004431D" w:rsidP="00E376A5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材料物理与化学</w:t>
            </w:r>
          </w:p>
        </w:tc>
      </w:tr>
      <w:tr w:rsidR="0004431D" w:rsidRPr="00E30DAF" w:rsidTr="00E376A5">
        <w:trPr>
          <w:trHeight w:val="609"/>
          <w:jc w:val="center"/>
        </w:trPr>
        <w:tc>
          <w:tcPr>
            <w:tcW w:w="3273" w:type="dxa"/>
            <w:vMerge/>
            <w:vAlign w:val="center"/>
          </w:tcPr>
          <w:p w:rsidR="0004431D" w:rsidRPr="00E30DAF" w:rsidRDefault="0004431D" w:rsidP="00E376A5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3669" w:type="dxa"/>
            <w:vAlign w:val="center"/>
          </w:tcPr>
          <w:p w:rsidR="0004431D" w:rsidRPr="00E30DAF" w:rsidRDefault="0004431D" w:rsidP="00E376A5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材料学</w:t>
            </w:r>
          </w:p>
        </w:tc>
      </w:tr>
      <w:tr w:rsidR="0004431D" w:rsidRPr="00E30DAF" w:rsidTr="00E376A5">
        <w:trPr>
          <w:trHeight w:val="609"/>
          <w:jc w:val="center"/>
        </w:trPr>
        <w:tc>
          <w:tcPr>
            <w:tcW w:w="3273" w:type="dxa"/>
            <w:vMerge/>
            <w:vAlign w:val="center"/>
          </w:tcPr>
          <w:p w:rsidR="0004431D" w:rsidRPr="00E30DAF" w:rsidRDefault="0004431D" w:rsidP="00E376A5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3669" w:type="dxa"/>
            <w:vAlign w:val="center"/>
          </w:tcPr>
          <w:p w:rsidR="0004431D" w:rsidRPr="00E30DAF" w:rsidRDefault="0004431D" w:rsidP="00E376A5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材料工程</w:t>
            </w:r>
          </w:p>
        </w:tc>
      </w:tr>
      <w:tr w:rsidR="0004431D" w:rsidRPr="00E30DAF" w:rsidTr="00E376A5">
        <w:trPr>
          <w:trHeight w:val="211"/>
          <w:jc w:val="center"/>
        </w:trPr>
        <w:tc>
          <w:tcPr>
            <w:tcW w:w="3273" w:type="dxa"/>
            <w:vAlign w:val="center"/>
          </w:tcPr>
          <w:p w:rsidR="0004431D" w:rsidRPr="00E30DAF" w:rsidRDefault="0004431D" w:rsidP="00E376A5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博士</w:t>
            </w:r>
            <w:r w:rsidRPr="00E30DAF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学位授权点</w:t>
            </w:r>
          </w:p>
        </w:tc>
        <w:tc>
          <w:tcPr>
            <w:tcW w:w="3669" w:type="dxa"/>
            <w:vAlign w:val="center"/>
          </w:tcPr>
          <w:p w:rsidR="0004431D" w:rsidRPr="00E30DAF" w:rsidRDefault="0004431D" w:rsidP="00E376A5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材料科学与工程</w:t>
            </w:r>
          </w:p>
        </w:tc>
      </w:tr>
    </w:tbl>
    <w:p w:rsidR="0004431D" w:rsidRPr="0004431D" w:rsidRDefault="0004431D" w:rsidP="0004431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4431D">
        <w:rPr>
          <w:rFonts w:ascii="仿宋_GB2312" w:eastAsia="仿宋_GB2312" w:hAnsi="仿宋_GB2312" w:cs="仿宋_GB2312" w:hint="eastAsia"/>
          <w:sz w:val="32"/>
          <w:szCs w:val="32"/>
        </w:rPr>
        <w:t>学院建设了“先进材料与纳米科技”大型仪器测试平台。目前拥有PEALD-150A原子层沉积、Kurt J Lesker Company 磁控溅射以及程序精密控制气氛炉等先进材料生长制备设备，拥有Bruker D8 Advance X射线衍射分析仪、JEOL JEM-</w:t>
      </w:r>
      <w:r w:rsidRPr="0004431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2100F透射电子显微镜、JEOL JSM-6360LV扫描电子显微镜、JSM-7800F场发射扫描电子显微镜、NORAN System SIX Model 300能谱分析仪、Bruker e-Flash1000 背散射电子衍射仪等材料性能测试设备。具备从先进材料的合成制备、结构表征、性能测试到微纳器件研发的良好条件，为创新型人才的培养提供了高水平的科研平台。</w:t>
      </w:r>
    </w:p>
    <w:p w:rsidR="0004431D" w:rsidRDefault="0004431D" w:rsidP="0004431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4431D">
        <w:rPr>
          <w:rFonts w:ascii="仿宋_GB2312" w:eastAsia="仿宋_GB2312" w:hAnsi="仿宋_GB2312" w:cs="仿宋_GB2312" w:hint="eastAsia"/>
          <w:sz w:val="32"/>
          <w:szCs w:val="32"/>
        </w:rPr>
        <w:t>学院现有陕西省实验教学示范中心1个、校外实践教育基地5个、校级虚拟仿真实验教学中心1个以及开放实验室21个。学院利用生师比合理、整体南迁优势，落实本科生导师制，圆满构建了“学涯规划”为主线、“职业规划”为导向的学生发展体系。以专、兼职相结合的学生工作队伍为指导，以各类学生组织为核心，开展了丰富多彩的校园科技文化活动。</w:t>
      </w:r>
    </w:p>
    <w:p w:rsidR="00CB1B04" w:rsidRPr="006E03F8" w:rsidRDefault="0004431D" w:rsidP="0004431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4431D">
        <w:rPr>
          <w:rFonts w:ascii="仿宋_GB2312" w:eastAsia="仿宋_GB2312" w:hAnsi="仿宋_GB2312" w:cs="仿宋_GB2312" w:hint="eastAsia"/>
          <w:sz w:val="32"/>
          <w:szCs w:val="32"/>
        </w:rPr>
        <w:t>我们的学生在专业知识、实践应用能力、创新思维等多方面得到了国内高校及用人单位的一致好评。2014年学院本科毕业生共计69名，其中7人为免试推荐研究生，13人考取研究生，4人访学深造，45人顺利参加工作；2015年学院本科毕业生共计82人，其中12人为免试推荐研究生，11人考取研究生，4人访学深造，55人顺利参加工作；2016年学院本科毕业生共计82人，其中10人为免试推荐研究生，25人考取研究生，47人顺利参加工作，一次性整体就业率为100%，位居全校前列。</w:t>
      </w:r>
    </w:p>
    <w:sectPr w:rsidR="00CB1B04" w:rsidRPr="006E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4E" w:rsidRDefault="0023074E" w:rsidP="006E03F8">
      <w:r>
        <w:separator/>
      </w:r>
    </w:p>
  </w:endnote>
  <w:endnote w:type="continuationSeparator" w:id="0">
    <w:p w:rsidR="0023074E" w:rsidRDefault="0023074E" w:rsidP="006E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4E" w:rsidRDefault="0023074E" w:rsidP="006E03F8">
      <w:r>
        <w:separator/>
      </w:r>
    </w:p>
  </w:footnote>
  <w:footnote w:type="continuationSeparator" w:id="0">
    <w:p w:rsidR="0023074E" w:rsidRDefault="0023074E" w:rsidP="006E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91"/>
    <w:rsid w:val="0004431D"/>
    <w:rsid w:val="000458E2"/>
    <w:rsid w:val="0023074E"/>
    <w:rsid w:val="002E4DC2"/>
    <w:rsid w:val="006047A1"/>
    <w:rsid w:val="006E03F8"/>
    <w:rsid w:val="00722191"/>
    <w:rsid w:val="009B7F0C"/>
    <w:rsid w:val="00AE1A85"/>
    <w:rsid w:val="00C630B8"/>
    <w:rsid w:val="00C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52CC5-9CDD-4C54-BBC0-33C36CAC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3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3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3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2017-06-12T02:49:00Z</dcterms:created>
  <dcterms:modified xsi:type="dcterms:W3CDTF">2018-06-20T03:37:00Z</dcterms:modified>
</cp:coreProperties>
</file>